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3F44" w14:textId="77777777" w:rsidR="004B72C7" w:rsidRPr="00BF1C3A" w:rsidRDefault="004B72C7" w:rsidP="004B72C7">
      <w:pPr>
        <w:tabs>
          <w:tab w:val="center" w:pos="4680"/>
        </w:tabs>
      </w:pPr>
      <w:r w:rsidRPr="00BF1C3A">
        <w:tab/>
      </w:r>
      <w:r w:rsidRPr="00BF1C3A">
        <w:rPr>
          <w:b/>
          <w:bCs/>
        </w:rPr>
        <w:t>Final Examination</w:t>
      </w:r>
    </w:p>
    <w:p w14:paraId="015B024D" w14:textId="77777777" w:rsidR="004B72C7" w:rsidRPr="00BF1C3A" w:rsidRDefault="004B72C7" w:rsidP="004B72C7">
      <w:pPr>
        <w:tabs>
          <w:tab w:val="center" w:pos="4680"/>
        </w:tabs>
      </w:pPr>
      <w:r w:rsidRPr="00BF1C3A">
        <w:tab/>
      </w:r>
      <w:r w:rsidRPr="00BF1C3A">
        <w:rPr>
          <w:b/>
          <w:bCs/>
        </w:rPr>
        <w:t>Contracts, Fall 200</w:t>
      </w:r>
      <w:r w:rsidR="00657790" w:rsidRPr="00BF1C3A">
        <w:rPr>
          <w:b/>
          <w:bCs/>
        </w:rPr>
        <w:t>9</w:t>
      </w:r>
    </w:p>
    <w:p w14:paraId="1B73FB59" w14:textId="77777777" w:rsidR="00617961" w:rsidRPr="00BF1C3A" w:rsidRDefault="004B72C7" w:rsidP="004B72C7">
      <w:pPr>
        <w:tabs>
          <w:tab w:val="center" w:pos="4680"/>
        </w:tabs>
      </w:pPr>
      <w:r w:rsidRPr="00BF1C3A">
        <w:tab/>
      </w:r>
    </w:p>
    <w:p w14:paraId="4B7E41BA" w14:textId="77777777" w:rsidR="004B72C7" w:rsidRPr="00BF1C3A" w:rsidRDefault="00617961" w:rsidP="00617961">
      <w:pPr>
        <w:tabs>
          <w:tab w:val="center" w:pos="4680"/>
        </w:tabs>
      </w:pPr>
      <w:r w:rsidRPr="00BF1C3A">
        <w:tab/>
      </w:r>
      <w:r w:rsidR="004B72C7" w:rsidRPr="00BF1C3A">
        <w:t>Prof. Warner</w:t>
      </w:r>
    </w:p>
    <w:p w14:paraId="45AC4AFC" w14:textId="77777777" w:rsidR="004B72C7" w:rsidRPr="00BF1C3A" w:rsidRDefault="004B72C7" w:rsidP="004B72C7">
      <w:pPr>
        <w:tabs>
          <w:tab w:val="center" w:pos="4680"/>
        </w:tabs>
      </w:pPr>
      <w:r w:rsidRPr="00BF1C3A">
        <w:tab/>
        <w:t>December 16, 2009</w:t>
      </w:r>
    </w:p>
    <w:p w14:paraId="7DC56F93" w14:textId="77777777" w:rsidR="004B72C7" w:rsidRPr="00BF1C3A" w:rsidRDefault="004B72C7" w:rsidP="004B72C7">
      <w:pPr>
        <w:tabs>
          <w:tab w:val="center" w:pos="4680"/>
        </w:tabs>
      </w:pPr>
    </w:p>
    <w:p w14:paraId="1A5645ED" w14:textId="77777777" w:rsidR="004B72C7" w:rsidRPr="00BF1C3A" w:rsidRDefault="004B72C7" w:rsidP="004B72C7">
      <w:pPr>
        <w:ind w:left="-90"/>
      </w:pPr>
      <w:r w:rsidRPr="00BF1C3A">
        <w:t xml:space="preserve">The exam is 3½ hours long.  </w:t>
      </w:r>
    </w:p>
    <w:p w14:paraId="7AC561BF" w14:textId="77777777" w:rsidR="004B72C7" w:rsidRPr="00BF1C3A" w:rsidRDefault="004B72C7" w:rsidP="004B72C7">
      <w:pPr>
        <w:ind w:left="-90"/>
      </w:pPr>
    </w:p>
    <w:p w14:paraId="0143D5A0" w14:textId="77777777" w:rsidR="004B72C7" w:rsidRPr="00BF1C3A" w:rsidRDefault="004B72C7" w:rsidP="004B72C7">
      <w:pPr>
        <w:ind w:left="-90"/>
      </w:pPr>
      <w:r w:rsidRPr="00BF1C3A">
        <w:t xml:space="preserve">The exam is open book; you may use material on your computers, as well as commercial or personal printed materials.  </w:t>
      </w:r>
    </w:p>
    <w:p w14:paraId="22670AB5" w14:textId="77777777" w:rsidR="00F97E2D" w:rsidRPr="00BF1C3A" w:rsidRDefault="00F97E2D" w:rsidP="00F97E2D">
      <w:pPr>
        <w:pStyle w:val="FootnoteText"/>
        <w:rPr>
          <w:sz w:val="22"/>
          <w:szCs w:val="22"/>
        </w:rPr>
      </w:pPr>
    </w:p>
    <w:p w14:paraId="66128257" w14:textId="77777777" w:rsidR="00F97E2D" w:rsidRPr="00BF1C3A" w:rsidRDefault="00F97E2D" w:rsidP="00F97E2D">
      <w:pPr>
        <w:pStyle w:val="FootnoteText"/>
        <w:rPr>
          <w:sz w:val="22"/>
          <w:szCs w:val="22"/>
        </w:rPr>
      </w:pPr>
      <w:r w:rsidRPr="00BF1C3A">
        <w:rPr>
          <w:sz w:val="22"/>
          <w:szCs w:val="22"/>
        </w:rPr>
        <w:br w:type="page"/>
      </w:r>
    </w:p>
    <w:p w14:paraId="6F1F3EF9" w14:textId="77777777" w:rsidR="008F2F56" w:rsidRPr="00BF1C3A" w:rsidRDefault="00A43B7E" w:rsidP="00EE2FF0">
      <w:pPr>
        <w:ind w:firstLine="720"/>
      </w:pPr>
      <w:r w:rsidRPr="00BF1C3A">
        <w:t xml:space="preserve">Steve Sowle, </w:t>
      </w:r>
      <w:r w:rsidR="00CE1BCA" w:rsidRPr="00BF1C3A">
        <w:t xml:space="preserve">a Korean Chef with a passion for soul </w:t>
      </w:r>
      <w:r w:rsidR="009F63A5" w:rsidRPr="00BF1C3A">
        <w:t xml:space="preserve">food, owns and operates </w:t>
      </w:r>
      <w:r w:rsidR="00CE1BCA" w:rsidRPr="00BF1C3A">
        <w:t xml:space="preserve">Seoul Soul, a restaurant specializing in a Korean interpretation of soul food.  </w:t>
      </w:r>
      <w:r w:rsidR="00AB1383" w:rsidRPr="00BF1C3A">
        <w:t>On</w:t>
      </w:r>
      <w:r w:rsidR="00BF07BE" w:rsidRPr="00BF1C3A">
        <w:t xml:space="preserve"> May</w:t>
      </w:r>
      <w:r w:rsidR="00EB4277" w:rsidRPr="00BF1C3A">
        <w:t xml:space="preserve"> 10</w:t>
      </w:r>
      <w:r w:rsidR="00BF07BE" w:rsidRPr="00BF1C3A">
        <w:t xml:space="preserve">, </w:t>
      </w:r>
      <w:r w:rsidR="00571B52" w:rsidRPr="00BF1C3A">
        <w:t xml:space="preserve">Sowle is negotiating with Brill’s Broccoli and More, a food importer, for the delivery of soybeans and collard greens.  </w:t>
      </w:r>
      <w:r w:rsidR="00F61214" w:rsidRPr="00BF1C3A">
        <w:t xml:space="preserve">That day, </w:t>
      </w:r>
      <w:r w:rsidR="00571B52" w:rsidRPr="00BF1C3A">
        <w:t>Brill send</w:t>
      </w:r>
      <w:r w:rsidR="00EE2FF0" w:rsidRPr="00BF1C3A">
        <w:t>s</w:t>
      </w:r>
      <w:r w:rsidR="00571B52" w:rsidRPr="00BF1C3A">
        <w:t xml:space="preserve"> an unsigned purchase order agreement to Sowle and includes the following note</w:t>
      </w:r>
      <w:proofErr w:type="gramStart"/>
      <w:r w:rsidR="00571B52" w:rsidRPr="00BF1C3A">
        <w:t>:  “</w:t>
      </w:r>
      <w:proofErr w:type="gramEnd"/>
      <w:r w:rsidR="00571B52" w:rsidRPr="00BF1C3A">
        <w:t>Read this over, make whatever changes you want, and send</w:t>
      </w:r>
      <w:r w:rsidR="00485068" w:rsidRPr="00BF1C3A">
        <w:t xml:space="preserve"> the signed original back to me for my consideration.”</w:t>
      </w:r>
      <w:r w:rsidR="00571B52" w:rsidRPr="00BF1C3A">
        <w:t xml:space="preserve"> </w:t>
      </w:r>
      <w:r w:rsidR="0049698C" w:rsidRPr="00BF1C3A">
        <w:t xml:space="preserve"> When he receives the purchase order agreement, Sowle telephones Brill.  So</w:t>
      </w:r>
      <w:r w:rsidR="00EE2FF0" w:rsidRPr="00BF1C3A">
        <w:t>wle says, “What about selling me</w:t>
      </w:r>
      <w:r w:rsidR="0049698C" w:rsidRPr="00BF1C3A">
        <w:t xml:space="preserve"> </w:t>
      </w:r>
      <w:r w:rsidR="00EE2FF0" w:rsidRPr="00BF1C3A">
        <w:t>50</w:t>
      </w:r>
      <w:r w:rsidR="00AD3A3A" w:rsidRPr="00BF1C3A">
        <w:t xml:space="preserve"> pounds of chitterlings</w:t>
      </w:r>
      <w:r w:rsidR="00EE2FF0" w:rsidRPr="00BF1C3A">
        <w:t xml:space="preserve"> and 100</w:t>
      </w:r>
      <w:r w:rsidR="008B78FD" w:rsidRPr="00BF1C3A">
        <w:t xml:space="preserve"> pounds of hog maws?</w:t>
      </w:r>
      <w:r w:rsidR="00C82B6C" w:rsidRPr="00BF1C3A">
        <w:t xml:space="preserve">  To be delivered along with the collard greens and soybeans.  Payment to</w:t>
      </w:r>
      <w:r w:rsidR="00E31184" w:rsidRPr="00BF1C3A">
        <w:t xml:space="preserve"> be at the </w:t>
      </w:r>
      <w:r w:rsidR="00C82B6C" w:rsidRPr="00BF1C3A">
        <w:t>market price</w:t>
      </w:r>
      <w:r w:rsidR="00E31184" w:rsidRPr="00BF1C3A">
        <w:t xml:space="preserve"> prevailing today</w:t>
      </w:r>
      <w:r w:rsidR="00C82B6C" w:rsidRPr="00BF1C3A">
        <w:t>.</w:t>
      </w:r>
      <w:r w:rsidR="008B78FD" w:rsidRPr="00BF1C3A">
        <w:t xml:space="preserve">”  </w:t>
      </w:r>
      <w:r w:rsidR="0059073A" w:rsidRPr="00BF1C3A">
        <w:t xml:space="preserve">Brill agrees.  Chitterlings are pig intestines, and hog maws are pig stomachs, but Brill, unfamiliar with soul food terms, thinks that chitterlings are pig stomachs, and hog maws are pig intestines.  </w:t>
      </w:r>
      <w:r w:rsidR="00017547" w:rsidRPr="00BF1C3A">
        <w:t xml:space="preserve">After the phone conversation, </w:t>
      </w:r>
      <w:r w:rsidR="00017547" w:rsidRPr="00B821E0">
        <w:t xml:space="preserve">Sowle </w:t>
      </w:r>
      <w:r w:rsidR="000F3FAB" w:rsidRPr="00B821E0">
        <w:t>signs and returns the purchase order agreement with the following note attached</w:t>
      </w:r>
      <w:proofErr w:type="gramStart"/>
      <w:r w:rsidR="000F3FAB" w:rsidRPr="00B821E0">
        <w:t>:  “</w:t>
      </w:r>
      <w:proofErr w:type="gramEnd"/>
      <w:r w:rsidR="000F3FAB" w:rsidRPr="00B821E0">
        <w:t>Your form had no place for a delivery date; delivery shall be on August 28.</w:t>
      </w:r>
      <w:r w:rsidR="00EE2FF0" w:rsidRPr="00BF1C3A">
        <w:rPr>
          <w:b/>
        </w:rPr>
        <w:t xml:space="preserve">  </w:t>
      </w:r>
      <w:r w:rsidR="00EE2FF0" w:rsidRPr="00BF1C3A">
        <w:t>Also</w:t>
      </w:r>
      <w:r w:rsidR="003C1C02" w:rsidRPr="00BF1C3A">
        <w:t>,</w:t>
      </w:r>
      <w:r w:rsidR="00EE2FF0" w:rsidRPr="00BF1C3A">
        <w:t xml:space="preserve"> I include the following warranty of merchantability:  The seller warrants that the goods sold under this contract are fit for the purpose for which such goods are ordinarily sold.</w:t>
      </w:r>
      <w:r w:rsidR="00505764" w:rsidRPr="00BF1C3A">
        <w:t xml:space="preserve">  I have signed the purchase order agreemen</w:t>
      </w:r>
      <w:r w:rsidR="00663C17">
        <w:t>t, and include it and this note.</w:t>
      </w:r>
      <w:r w:rsidR="00EE2FF0" w:rsidRPr="00BF1C3A">
        <w:t xml:space="preserve">”  </w:t>
      </w:r>
      <w:r w:rsidR="00A47CC0" w:rsidRPr="00BF1C3A">
        <w:t>Sowle had</w:t>
      </w:r>
      <w:r w:rsidRPr="00BF1C3A">
        <w:t xml:space="preserve"> noted that the purchase agreement from Brill was silent in regard to the warranty of merchantability, neither asserting it nor disclaiming it</w:t>
      </w:r>
      <w:r w:rsidR="0087281E" w:rsidRPr="00BF1C3A">
        <w:t>, and did not mention a delivery date</w:t>
      </w:r>
      <w:r w:rsidRPr="00BF1C3A">
        <w:t xml:space="preserve">.  </w:t>
      </w:r>
      <w:r w:rsidR="000F3FAB" w:rsidRPr="00BF1C3A">
        <w:t xml:space="preserve">When Brill receives the signed purchase order agreement from Sowle, </w:t>
      </w:r>
      <w:r w:rsidR="00EE2FF0" w:rsidRPr="00BF1C3A">
        <w:t xml:space="preserve">he </w:t>
      </w:r>
      <w:r w:rsidR="0066754F" w:rsidRPr="00BF1C3A">
        <w:t>immediately signs</w:t>
      </w:r>
      <w:r w:rsidR="00EE2FF0" w:rsidRPr="00BF1C3A">
        <w:t xml:space="preserve"> and returns it </w:t>
      </w:r>
      <w:r w:rsidR="00287032" w:rsidRPr="00BF1C3A">
        <w:t xml:space="preserve">by special messenger that day </w:t>
      </w:r>
      <w:r w:rsidR="00EE2FF0" w:rsidRPr="00BF1C3A">
        <w:t>with the following note attached</w:t>
      </w:r>
      <w:proofErr w:type="gramStart"/>
      <w:r w:rsidR="00EE2FF0" w:rsidRPr="00BF1C3A">
        <w:t>:  “</w:t>
      </w:r>
      <w:proofErr w:type="gramEnd"/>
      <w:r w:rsidR="000F3FAB" w:rsidRPr="00BF1C3A">
        <w:t xml:space="preserve">The warranty of merchantability is hereby disclaimed.”  </w:t>
      </w:r>
      <w:r w:rsidR="00331E19" w:rsidRPr="00BF1C3A">
        <w:t>The purchase order agreement specifies all relevant details of the deal including price and quantity, and it contains the following clause</w:t>
      </w:r>
      <w:proofErr w:type="gramStart"/>
      <w:r w:rsidR="00331E19" w:rsidRPr="00BF1C3A">
        <w:t>:  “</w:t>
      </w:r>
      <w:proofErr w:type="gramEnd"/>
      <w:r w:rsidR="00331E19" w:rsidRPr="00BF1C3A">
        <w:t>Entire Agreement Cla</w:t>
      </w:r>
      <w:r w:rsidR="00F831E9" w:rsidRPr="00BF1C3A">
        <w:t xml:space="preserve">use:  This agreement is a </w:t>
      </w:r>
      <w:r w:rsidR="00331E19" w:rsidRPr="00BF1C3A">
        <w:t xml:space="preserve">complete and exclusive </w:t>
      </w:r>
      <w:r w:rsidR="00F831E9" w:rsidRPr="00BF1C3A">
        <w:t xml:space="preserve">statement of the parties’ </w:t>
      </w:r>
      <w:r w:rsidR="00331E19" w:rsidRPr="00BF1C3A">
        <w:t>obligation</w:t>
      </w:r>
      <w:r w:rsidR="00020854" w:rsidRPr="00BF1C3A">
        <w:t>s.”  When Brill received the agreement, he called Sowle before signing it</w:t>
      </w:r>
      <w:r w:rsidR="00642608" w:rsidRPr="00BF1C3A">
        <w:t xml:space="preserve"> and said, “Our chitterlings/hog</w:t>
      </w:r>
      <w:r w:rsidR="00020854" w:rsidRPr="00BF1C3A">
        <w:t xml:space="preserve"> maws deal is still on, right?”  Sowle answered that that was right.  </w:t>
      </w:r>
      <w:r w:rsidR="004C2910" w:rsidRPr="00BF1C3A">
        <w:t>Brill replied, “So what about this entire agreement clause?”  Sowle said, “It’s your agreement.  Don’t you know what it means?”  Brill replied, “Lawyer talk.  I pay the lawyer but I don’t understand the lawyer.  Anyway, we know what we are doing, right?”  Sowl</w:t>
      </w:r>
      <w:r w:rsidR="00DF42B9" w:rsidRPr="00BF1C3A">
        <w:t>e responds that that is right.  When Sowle receives the purchase order agreement back from Brill, he calls him to say, “Great.  Glad our deal is done.”  The</w:t>
      </w:r>
      <w:r w:rsidR="00E9681A" w:rsidRPr="00BF1C3A">
        <w:t xml:space="preserve">y have no further discussions about the purchase order.  </w:t>
      </w:r>
    </w:p>
    <w:p w14:paraId="1CBFC641" w14:textId="77777777" w:rsidR="00B47F6B" w:rsidRPr="00BF1C3A" w:rsidRDefault="004153CC" w:rsidP="00B47F6B">
      <w:pPr>
        <w:pStyle w:val="FootnoteText"/>
        <w:rPr>
          <w:sz w:val="22"/>
          <w:szCs w:val="22"/>
        </w:rPr>
      </w:pPr>
      <w:r w:rsidRPr="00BF1C3A">
        <w:rPr>
          <w:sz w:val="22"/>
          <w:szCs w:val="22"/>
        </w:rPr>
        <w:tab/>
      </w:r>
    </w:p>
    <w:p w14:paraId="04255F65" w14:textId="77777777" w:rsidR="00BF07BE" w:rsidRPr="00BF1C3A" w:rsidRDefault="00BF07BE" w:rsidP="00EE2FF0">
      <w:pPr>
        <w:ind w:firstLine="720"/>
      </w:pPr>
      <w:r w:rsidRPr="00BF1C3A">
        <w:t>In June, a virus</w:t>
      </w:r>
      <w:r w:rsidR="00EE2FF0" w:rsidRPr="00BF1C3A">
        <w:t xml:space="preserve"> is discovered in several different shipments of hog maws to various restaurants, and the world’s main hog maw supplier closes its plant to investigate.  The price of hog maws increase</w:t>
      </w:r>
      <w:r w:rsidR="00A47CC0" w:rsidRPr="00BF1C3A">
        <w:t>s</w:t>
      </w:r>
      <w:r w:rsidR="00EE2FF0" w:rsidRPr="00BF1C3A">
        <w:t xml:space="preserve"> ten times as a result.  </w:t>
      </w:r>
      <w:r w:rsidR="00EB4277" w:rsidRPr="00BF1C3A">
        <w:t>Neither Bril</w:t>
      </w:r>
      <w:r w:rsidR="00A47CC0" w:rsidRPr="00BF1C3A">
        <w:t xml:space="preserve">l nor Sowle expected </w:t>
      </w:r>
      <w:r w:rsidR="00EB4277" w:rsidRPr="00BF1C3A">
        <w:t>or even contemplated the virus attack.  Brill does, ho</w:t>
      </w:r>
      <w:r w:rsidR="00EE2FF0" w:rsidRPr="00BF1C3A">
        <w:t>wever, subscribe to the “Hog Maw</w:t>
      </w:r>
      <w:r w:rsidR="00EB4277" w:rsidRPr="00BF1C3A">
        <w:t xml:space="preserve"> </w:t>
      </w:r>
      <w:r w:rsidRPr="00BF1C3A">
        <w:t xml:space="preserve">Supplier Alert,” a service which sends suppliers of </w:t>
      </w:r>
      <w:r w:rsidR="00EE2FF0" w:rsidRPr="00BF1C3A">
        <w:t xml:space="preserve">hog maws </w:t>
      </w:r>
      <w:r w:rsidR="00EB4277" w:rsidRPr="00BF1C3A">
        <w:t>alerts about events th</w:t>
      </w:r>
      <w:r w:rsidR="009C649A" w:rsidRPr="00BF1C3A">
        <w:t xml:space="preserve">at may affect the hog maw </w:t>
      </w:r>
      <w:r w:rsidR="00EB4277" w:rsidRPr="00BF1C3A">
        <w:t>market</w:t>
      </w:r>
      <w:r w:rsidRPr="00BF1C3A">
        <w:t>.</w:t>
      </w:r>
      <w:r w:rsidR="00EB4277" w:rsidRPr="00BF1C3A">
        <w:t xml:space="preserve">  An alert was sent on May 1</w:t>
      </w:r>
      <w:r w:rsidRPr="00BF1C3A">
        <w:t xml:space="preserve"> about </w:t>
      </w:r>
      <w:r w:rsidR="00EB4277" w:rsidRPr="00BF1C3A">
        <w:t xml:space="preserve">a virus that was likely to spread </w:t>
      </w:r>
      <w:r w:rsidR="00654E2D" w:rsidRPr="00BF1C3A">
        <w:t xml:space="preserve">to hog maws </w:t>
      </w:r>
      <w:r w:rsidR="00FA671D" w:rsidRPr="00BF1C3A">
        <w:t>world</w:t>
      </w:r>
      <w:r w:rsidR="00EB4277" w:rsidRPr="00BF1C3A">
        <w:t xml:space="preserve">wide, but Brill </w:t>
      </w:r>
      <w:r w:rsidRPr="00BF1C3A">
        <w:t xml:space="preserve">was away from his office; his e-mail is forwarded to his Blackberry, and he saw the e-mail but </w:t>
      </w:r>
      <w:r w:rsidRPr="00BF1C3A">
        <w:lastRenderedPageBreak/>
        <w:t>did not open it because he misread the subject line and did not realize i</w:t>
      </w:r>
      <w:r w:rsidR="00654E2D" w:rsidRPr="00BF1C3A">
        <w:t xml:space="preserve">t was from the Hog Maw </w:t>
      </w:r>
      <w:r w:rsidR="00EB4277" w:rsidRPr="00BF1C3A">
        <w:t>Supplier Alert</w:t>
      </w:r>
      <w:r w:rsidRPr="00BF1C3A">
        <w:t xml:space="preserve">.  </w:t>
      </w:r>
    </w:p>
    <w:p w14:paraId="28C94683" w14:textId="77777777" w:rsidR="00BF07BE" w:rsidRPr="00BF1C3A" w:rsidRDefault="00BF07BE" w:rsidP="00BF07BE">
      <w:pPr>
        <w:ind w:firstLine="720"/>
      </w:pPr>
    </w:p>
    <w:p w14:paraId="4CA2D87F" w14:textId="77777777" w:rsidR="00BF07BE" w:rsidRPr="00BF1C3A" w:rsidRDefault="00BF07BE" w:rsidP="00BF07BE">
      <w:pPr>
        <w:ind w:firstLine="720"/>
      </w:pPr>
      <w:r w:rsidRPr="00BF1C3A">
        <w:t>When Sowle learns of the virus attack, he sends the following le</w:t>
      </w:r>
      <w:r w:rsidR="00EB4277" w:rsidRPr="00BF1C3A">
        <w:t>tter to Brill</w:t>
      </w:r>
      <w:r w:rsidRPr="00BF1C3A">
        <w:t>:</w:t>
      </w:r>
    </w:p>
    <w:p w14:paraId="1E584FDD" w14:textId="77777777" w:rsidR="00BF07BE" w:rsidRPr="00BF1C3A" w:rsidRDefault="00BF07BE" w:rsidP="00BF07BE">
      <w:pPr>
        <w:ind w:firstLine="720"/>
      </w:pPr>
    </w:p>
    <w:p w14:paraId="3CFC8EF4" w14:textId="77777777" w:rsidR="00BF07BE" w:rsidRPr="00BF1C3A" w:rsidRDefault="00BF07BE" w:rsidP="00BF07BE">
      <w:pPr>
        <w:ind w:left="720"/>
      </w:pPr>
      <w:r w:rsidRPr="00BF1C3A">
        <w:t>The virus attack has made me concerned about your ability</w:t>
      </w:r>
      <w:r w:rsidR="00654E2D" w:rsidRPr="00BF1C3A">
        <w:t xml:space="preserve"> to deliver the hog maws</w:t>
      </w:r>
      <w:r w:rsidRPr="00BF1C3A">
        <w:t>.  I saw a report from the</w:t>
      </w:r>
      <w:r w:rsidR="00EB4277" w:rsidRPr="00BF1C3A">
        <w:t xml:space="preserve"> Association</w:t>
      </w:r>
      <w:r w:rsidR="00653890" w:rsidRPr="00BF1C3A">
        <w:t xml:space="preserve"> of Hog</w:t>
      </w:r>
      <w:r w:rsidR="00654E2D" w:rsidRPr="00BF1C3A">
        <w:t xml:space="preserve"> Maw</w:t>
      </w:r>
      <w:r w:rsidR="00EB4277" w:rsidRPr="00BF1C3A">
        <w:t xml:space="preserve"> </w:t>
      </w:r>
      <w:r w:rsidRPr="00BF1C3A">
        <w:t xml:space="preserve">Suppliers which predicted that 90% of suppliers would not be able to fulfill their current contracts without sustaining unacceptable business loses.  They predicted that the majority of suppliers would fail to deliver.  Please confirm in writing that you will be able to perform. </w:t>
      </w:r>
    </w:p>
    <w:p w14:paraId="4004ECEC" w14:textId="77777777" w:rsidR="00BF07BE" w:rsidRPr="00BF1C3A" w:rsidRDefault="00BF07BE" w:rsidP="00BF07BE"/>
    <w:p w14:paraId="1802021D" w14:textId="77777777" w:rsidR="00BF07BE" w:rsidRPr="00BF1C3A" w:rsidRDefault="007C3279" w:rsidP="00BF07BE">
      <w:r w:rsidRPr="00BF1C3A">
        <w:t>Brill</w:t>
      </w:r>
      <w:r w:rsidR="00BF07BE" w:rsidRPr="00BF1C3A">
        <w:t xml:space="preserve"> </w:t>
      </w:r>
      <w:r w:rsidRPr="00BF1C3A">
        <w:t xml:space="preserve">immediately </w:t>
      </w:r>
      <w:r w:rsidR="00BF07BE" w:rsidRPr="00BF1C3A">
        <w:t>replied:</w:t>
      </w:r>
    </w:p>
    <w:p w14:paraId="2017C6FD" w14:textId="77777777" w:rsidR="00BF07BE" w:rsidRPr="00BF1C3A" w:rsidRDefault="00BF07BE" w:rsidP="00BF07BE"/>
    <w:p w14:paraId="4B399115" w14:textId="77777777" w:rsidR="00BF07BE" w:rsidRPr="00BF1C3A" w:rsidRDefault="00BF07BE" w:rsidP="00BF07BE">
      <w:pPr>
        <w:ind w:left="720"/>
      </w:pPr>
      <w:r w:rsidRPr="00BF1C3A">
        <w:t xml:space="preserve">Fortunately, I have been </w:t>
      </w:r>
      <w:r w:rsidR="00A503A9" w:rsidRPr="00BF1C3A">
        <w:t xml:space="preserve">absolutely </w:t>
      </w:r>
      <w:r w:rsidRPr="00BF1C3A">
        <w:t>assured by</w:t>
      </w:r>
      <w:r w:rsidR="007C3279" w:rsidRPr="00BF1C3A">
        <w:t xml:space="preserve"> Hog Maws</w:t>
      </w:r>
      <w:r w:rsidR="00C82B6C" w:rsidRPr="00BF1C3A">
        <w:t xml:space="preserve"> R Us </w:t>
      </w:r>
      <w:r w:rsidRPr="00BF1C3A">
        <w:t xml:space="preserve">that they have </w:t>
      </w:r>
      <w:r w:rsidR="0076794F" w:rsidRPr="00BF1C3A">
        <w:t xml:space="preserve">in stock </w:t>
      </w:r>
      <w:r w:rsidRPr="00BF1C3A">
        <w:t>sufficient supplies</w:t>
      </w:r>
      <w:r w:rsidR="00C82B6C" w:rsidRPr="00BF1C3A">
        <w:t xml:space="preserve"> </w:t>
      </w:r>
      <w:r w:rsidR="006F4527" w:rsidRPr="00BF1C3A">
        <w:t xml:space="preserve">of virus-free </w:t>
      </w:r>
      <w:r w:rsidR="000708D2" w:rsidRPr="00BF1C3A">
        <w:t xml:space="preserve">hog maws </w:t>
      </w:r>
      <w:r w:rsidR="00C82B6C" w:rsidRPr="00BF1C3A">
        <w:t>to deliv</w:t>
      </w:r>
      <w:r w:rsidR="00346361" w:rsidRPr="00BF1C3A">
        <w:t xml:space="preserve">er the necessary amount </w:t>
      </w:r>
      <w:r w:rsidRPr="00BF1C3A">
        <w:t>at the pre-virus market price in time</w:t>
      </w:r>
      <w:r w:rsidR="00EB4277" w:rsidRPr="00BF1C3A">
        <w:t xml:space="preserve"> for </w:t>
      </w:r>
      <w:r w:rsidR="00EE3617" w:rsidRPr="00BF1C3A">
        <w:t>me to deliver them</w:t>
      </w:r>
      <w:r w:rsidRPr="00BF1C3A">
        <w:t xml:space="preserve"> to you.  </w:t>
      </w:r>
    </w:p>
    <w:p w14:paraId="7A7F9CCE" w14:textId="77777777" w:rsidR="00BF07BE" w:rsidRPr="00BF1C3A" w:rsidRDefault="00BF07BE" w:rsidP="00BF07BE"/>
    <w:p w14:paraId="0CAF844C" w14:textId="77777777" w:rsidR="00BF07BE" w:rsidRPr="00BF1C3A" w:rsidRDefault="007C3279" w:rsidP="00BF07BE">
      <w:r w:rsidRPr="00BF1C3A">
        <w:t xml:space="preserve">Hog Maws </w:t>
      </w:r>
      <w:r w:rsidR="00C82B6C" w:rsidRPr="00BF1C3A">
        <w:t xml:space="preserve">R Us </w:t>
      </w:r>
      <w:r w:rsidR="00BF07BE" w:rsidRPr="00BF1C3A">
        <w:t>is a very well-known and reputable company.  As Sowle knew, its promises of delivery could be relied on with complete confidence; however, d</w:t>
      </w:r>
      <w:r w:rsidR="00C82B6C" w:rsidRPr="00BF1C3A">
        <w:t>espite Brill’s</w:t>
      </w:r>
      <w:r w:rsidR="00BF07BE" w:rsidRPr="00BF1C3A">
        <w:t xml:space="preserve"> reply, Sowle r</w:t>
      </w:r>
      <w:r w:rsidR="00C82B6C" w:rsidRPr="00BF1C3A">
        <w:t>emained concerned that Brill</w:t>
      </w:r>
      <w:r w:rsidR="00BF07BE" w:rsidRPr="00BF1C3A">
        <w:t xml:space="preserve"> would be unable to perform</w:t>
      </w:r>
      <w:r w:rsidR="004F02DE" w:rsidRPr="00BF1C3A">
        <w:t>.  The repeated warnings in the press of a hog maw shortage convinced him Brill would not perform; c</w:t>
      </w:r>
      <w:r w:rsidR="00BF07BE" w:rsidRPr="00BF1C3A">
        <w:t>onse</w:t>
      </w:r>
      <w:r w:rsidR="00C82B6C" w:rsidRPr="00BF1C3A">
        <w:t>quently, failed to pay Brill</w:t>
      </w:r>
      <w:r w:rsidR="00BF07BE" w:rsidRPr="00BF1C3A">
        <w:t xml:space="preserve"> a partial payment d</w:t>
      </w:r>
      <w:r w:rsidR="00C82B6C" w:rsidRPr="00BF1C3A">
        <w:t>ue under the contract on June</w:t>
      </w:r>
      <w:r w:rsidR="000B6DEC" w:rsidRPr="00BF1C3A">
        <w:t xml:space="preserve"> 20.  Sowle assured Brill</w:t>
      </w:r>
      <w:r w:rsidR="00BF07BE" w:rsidRPr="00BF1C3A">
        <w:t xml:space="preserve"> </w:t>
      </w:r>
      <w:r w:rsidR="00C82B6C" w:rsidRPr="00BF1C3A">
        <w:t>that if h</w:t>
      </w:r>
      <w:r w:rsidRPr="00BF1C3A">
        <w:t>e did deliver the hog maws</w:t>
      </w:r>
      <w:r w:rsidR="00BF07BE" w:rsidRPr="00BF1C3A">
        <w:t>, Sowle would pay in full on</w:t>
      </w:r>
      <w:r w:rsidR="00C82B6C" w:rsidRPr="00BF1C3A">
        <w:t xml:space="preserve"> the day of delivery.  Brill</w:t>
      </w:r>
      <w:r w:rsidR="00BF07BE" w:rsidRPr="00BF1C3A">
        <w:t xml:space="preserve"> replied, “You should make the partial payment, but, rest assure</w:t>
      </w:r>
      <w:r w:rsidR="00C82B6C" w:rsidRPr="00BF1C3A">
        <w:t>d, I am delivering on August 28</w:t>
      </w:r>
      <w:r w:rsidR="00BF07BE" w:rsidRPr="00BF1C3A">
        <w:t xml:space="preserve"> even though by doing so I am waiving no right to damages under the contract.”  </w:t>
      </w:r>
    </w:p>
    <w:p w14:paraId="44731C05" w14:textId="77777777" w:rsidR="00BF07BE" w:rsidRPr="00BF1C3A" w:rsidRDefault="00BF07BE" w:rsidP="00B47F6B">
      <w:pPr>
        <w:pStyle w:val="FootnoteText"/>
        <w:rPr>
          <w:sz w:val="22"/>
          <w:szCs w:val="22"/>
        </w:rPr>
      </w:pPr>
    </w:p>
    <w:p w14:paraId="0F06BF71" w14:textId="77777777" w:rsidR="00C82B6C" w:rsidRPr="00BF1C3A" w:rsidRDefault="00C82B6C" w:rsidP="00B47F6B">
      <w:pPr>
        <w:pStyle w:val="FootnoteText"/>
        <w:rPr>
          <w:sz w:val="22"/>
          <w:szCs w:val="22"/>
        </w:rPr>
      </w:pPr>
      <w:r w:rsidRPr="00BF1C3A">
        <w:rPr>
          <w:sz w:val="22"/>
          <w:szCs w:val="22"/>
        </w:rPr>
        <w:tab/>
      </w:r>
      <w:r w:rsidR="00E31184" w:rsidRPr="00BF1C3A">
        <w:rPr>
          <w:sz w:val="22"/>
          <w:szCs w:val="22"/>
        </w:rPr>
        <w:t xml:space="preserve">Brill delivers </w:t>
      </w:r>
      <w:r w:rsidR="000801C5" w:rsidRPr="00BF1C3A">
        <w:rPr>
          <w:sz w:val="22"/>
          <w:szCs w:val="22"/>
        </w:rPr>
        <w:t xml:space="preserve">the </w:t>
      </w:r>
      <w:r w:rsidR="00E31184" w:rsidRPr="00BF1C3A">
        <w:rPr>
          <w:sz w:val="22"/>
          <w:szCs w:val="22"/>
        </w:rPr>
        <w:t>collard greens and soybeans on August 28, and Sowle pays in</w:t>
      </w:r>
      <w:r w:rsidR="007C3279" w:rsidRPr="00BF1C3A">
        <w:rPr>
          <w:sz w:val="22"/>
          <w:szCs w:val="22"/>
        </w:rPr>
        <w:t xml:space="preserve"> full.  Brill also delivers 100</w:t>
      </w:r>
      <w:r w:rsidR="00E31184" w:rsidRPr="00BF1C3A">
        <w:rPr>
          <w:sz w:val="22"/>
          <w:szCs w:val="22"/>
        </w:rPr>
        <w:t xml:space="preserve"> pounds of pig intestines (chitterlings) a</w:t>
      </w:r>
      <w:r w:rsidR="007C3279" w:rsidRPr="00BF1C3A">
        <w:rPr>
          <w:sz w:val="22"/>
          <w:szCs w:val="22"/>
        </w:rPr>
        <w:t xml:space="preserve">nd 50 </w:t>
      </w:r>
      <w:r w:rsidR="00E31184" w:rsidRPr="00BF1C3A">
        <w:rPr>
          <w:sz w:val="22"/>
          <w:szCs w:val="22"/>
        </w:rPr>
        <w:t>pounds of pig st</w:t>
      </w:r>
      <w:r w:rsidR="007C3279" w:rsidRPr="00BF1C3A">
        <w:rPr>
          <w:sz w:val="22"/>
          <w:szCs w:val="22"/>
        </w:rPr>
        <w:t>omachs (hog maws) instead of 50</w:t>
      </w:r>
      <w:r w:rsidR="00E31184" w:rsidRPr="00BF1C3A">
        <w:rPr>
          <w:sz w:val="22"/>
          <w:szCs w:val="22"/>
        </w:rPr>
        <w:t xml:space="preserve"> pounds of pig in</w:t>
      </w:r>
      <w:r w:rsidR="007C3279" w:rsidRPr="00BF1C3A">
        <w:rPr>
          <w:sz w:val="22"/>
          <w:szCs w:val="22"/>
        </w:rPr>
        <w:t>testines (chitterlings) and 100</w:t>
      </w:r>
      <w:r w:rsidR="00E31184" w:rsidRPr="00BF1C3A">
        <w:rPr>
          <w:sz w:val="22"/>
          <w:szCs w:val="22"/>
        </w:rPr>
        <w:t xml:space="preserve"> pounds of pig stomachs (hog maws).  Th</w:t>
      </w:r>
      <w:r w:rsidR="007C3279" w:rsidRPr="00BF1C3A">
        <w:rPr>
          <w:sz w:val="22"/>
          <w:szCs w:val="22"/>
        </w:rPr>
        <w:t>e cu</w:t>
      </w:r>
      <w:r w:rsidR="00FA61E2" w:rsidRPr="00BF1C3A">
        <w:rPr>
          <w:sz w:val="22"/>
          <w:szCs w:val="22"/>
        </w:rPr>
        <w:t xml:space="preserve">rrent market price for hog maws </w:t>
      </w:r>
      <w:r w:rsidR="007C3279" w:rsidRPr="00BF1C3A">
        <w:rPr>
          <w:sz w:val="22"/>
          <w:szCs w:val="22"/>
        </w:rPr>
        <w:t xml:space="preserve">is still tens times what it was </w:t>
      </w:r>
      <w:r w:rsidR="00E31184" w:rsidRPr="00BF1C3A">
        <w:rPr>
          <w:sz w:val="22"/>
          <w:szCs w:val="22"/>
        </w:rPr>
        <w:t xml:space="preserve">the day Sowle and Brill made the chitterlings/hog maws deal.  Sowle accepts the delivery, but when Brill receives the check in the mail from Sowle for payment, he returns the check, </w:t>
      </w:r>
      <w:r w:rsidR="007C3279" w:rsidRPr="00BF1C3A">
        <w:rPr>
          <w:sz w:val="22"/>
          <w:szCs w:val="22"/>
        </w:rPr>
        <w:t xml:space="preserve">and </w:t>
      </w:r>
      <w:r w:rsidR="003A53BC" w:rsidRPr="00BF1C3A">
        <w:rPr>
          <w:sz w:val="22"/>
          <w:szCs w:val="22"/>
        </w:rPr>
        <w:t>claims that they have</w:t>
      </w:r>
      <w:r w:rsidR="00E31184" w:rsidRPr="00BF1C3A">
        <w:rPr>
          <w:sz w:val="22"/>
          <w:szCs w:val="22"/>
        </w:rPr>
        <w:t xml:space="preserve"> no enforceable contract for the chitterlings and hog maws, and sues in restitution for the reasonable value of the benefit conferred.  </w:t>
      </w:r>
    </w:p>
    <w:p w14:paraId="10EAFA71" w14:textId="77777777" w:rsidR="007C3279" w:rsidRPr="00BF1C3A" w:rsidRDefault="007C3279" w:rsidP="00B47F6B">
      <w:pPr>
        <w:pStyle w:val="FootnoteText"/>
        <w:rPr>
          <w:sz w:val="22"/>
          <w:szCs w:val="22"/>
        </w:rPr>
      </w:pPr>
    </w:p>
    <w:p w14:paraId="219670DB" w14:textId="77777777" w:rsidR="007C3279" w:rsidRPr="00BF1C3A" w:rsidRDefault="007C3279" w:rsidP="00B47F6B">
      <w:pPr>
        <w:pStyle w:val="FootnoteText"/>
        <w:rPr>
          <w:b/>
          <w:sz w:val="22"/>
          <w:szCs w:val="22"/>
        </w:rPr>
      </w:pPr>
      <w:r w:rsidRPr="00BF1C3A">
        <w:rPr>
          <w:b/>
          <w:sz w:val="22"/>
          <w:szCs w:val="22"/>
        </w:rPr>
        <w:t>Questions</w:t>
      </w:r>
    </w:p>
    <w:p w14:paraId="2374570E" w14:textId="77777777" w:rsidR="007C3279" w:rsidRPr="00BF1C3A" w:rsidRDefault="007C3279" w:rsidP="00B47F6B">
      <w:pPr>
        <w:pStyle w:val="FootnoteText"/>
        <w:rPr>
          <w:sz w:val="22"/>
          <w:szCs w:val="22"/>
        </w:rPr>
      </w:pPr>
    </w:p>
    <w:p w14:paraId="413C713A" w14:textId="77777777" w:rsidR="00BF72AA" w:rsidRPr="00BF1C3A" w:rsidRDefault="00BF72AA" w:rsidP="00B47F6B">
      <w:pPr>
        <w:pStyle w:val="FootnoteText"/>
        <w:rPr>
          <w:sz w:val="22"/>
          <w:szCs w:val="22"/>
        </w:rPr>
      </w:pPr>
      <w:r w:rsidRPr="00BF1C3A">
        <w:rPr>
          <w:sz w:val="22"/>
          <w:szCs w:val="22"/>
        </w:rPr>
        <w:t>(1) What is the contractual delivery date for the collard greens and soybeans?  Does the contract contain a warranty of me</w:t>
      </w:r>
      <w:r w:rsidR="0013702F" w:rsidRPr="00BF1C3A">
        <w:rPr>
          <w:sz w:val="22"/>
          <w:szCs w:val="22"/>
        </w:rPr>
        <w:t>r</w:t>
      </w:r>
      <w:r w:rsidRPr="00BF1C3A">
        <w:rPr>
          <w:sz w:val="22"/>
          <w:szCs w:val="22"/>
        </w:rPr>
        <w:t>chantability?</w:t>
      </w:r>
    </w:p>
    <w:p w14:paraId="46D0A04D" w14:textId="77777777" w:rsidR="00CC3AD3" w:rsidRPr="00BF1C3A" w:rsidRDefault="00CC3AD3" w:rsidP="00B47F6B">
      <w:pPr>
        <w:pStyle w:val="FootnoteText"/>
        <w:rPr>
          <w:sz w:val="22"/>
          <w:szCs w:val="22"/>
        </w:rPr>
      </w:pPr>
    </w:p>
    <w:p w14:paraId="4CA288D5" w14:textId="77777777" w:rsidR="00BF72AA" w:rsidRPr="00BF1C3A" w:rsidRDefault="00BF72AA" w:rsidP="00B47F6B">
      <w:pPr>
        <w:pStyle w:val="FootnoteText"/>
        <w:rPr>
          <w:sz w:val="22"/>
          <w:szCs w:val="22"/>
        </w:rPr>
      </w:pPr>
    </w:p>
    <w:p w14:paraId="12682B93" w14:textId="77777777" w:rsidR="00BF72AA" w:rsidRPr="00BF1C3A" w:rsidRDefault="00BF72AA" w:rsidP="00B47F6B">
      <w:pPr>
        <w:pStyle w:val="FootnoteText"/>
        <w:rPr>
          <w:b/>
          <w:sz w:val="22"/>
          <w:szCs w:val="22"/>
        </w:rPr>
      </w:pPr>
      <w:r w:rsidRPr="00BF1C3A">
        <w:rPr>
          <w:b/>
          <w:sz w:val="22"/>
          <w:szCs w:val="22"/>
        </w:rPr>
        <w:lastRenderedPageBreak/>
        <w:t>Assume the Sowle and Brill are both merchants.</w:t>
      </w:r>
    </w:p>
    <w:p w14:paraId="415C51DC" w14:textId="77777777" w:rsidR="00BF72AA" w:rsidRPr="00BF1C3A" w:rsidRDefault="00BF72AA" w:rsidP="00B47F6B">
      <w:pPr>
        <w:pStyle w:val="FootnoteText"/>
        <w:rPr>
          <w:sz w:val="22"/>
          <w:szCs w:val="22"/>
        </w:rPr>
      </w:pPr>
    </w:p>
    <w:p w14:paraId="0DBD4C40" w14:textId="77777777" w:rsidR="00BF72AA" w:rsidRPr="00BF1C3A" w:rsidRDefault="00AA194F" w:rsidP="00B47F6B">
      <w:pPr>
        <w:pStyle w:val="FootnoteText"/>
        <w:rPr>
          <w:sz w:val="22"/>
          <w:szCs w:val="22"/>
        </w:rPr>
      </w:pPr>
      <w:r w:rsidRPr="00BF1C3A">
        <w:rPr>
          <w:sz w:val="22"/>
          <w:szCs w:val="22"/>
        </w:rPr>
        <w:t xml:space="preserve">(2) Does the parol evidence rule render the oral agreement about the hog maws and chitterlings unenforceable?  </w:t>
      </w:r>
    </w:p>
    <w:p w14:paraId="3222F93C" w14:textId="77777777" w:rsidR="007565E5" w:rsidRPr="00BF1C3A" w:rsidRDefault="007565E5" w:rsidP="00B47F6B">
      <w:pPr>
        <w:pStyle w:val="FootnoteText"/>
        <w:rPr>
          <w:sz w:val="22"/>
          <w:szCs w:val="22"/>
        </w:rPr>
      </w:pPr>
    </w:p>
    <w:p w14:paraId="02C03F4D" w14:textId="77777777" w:rsidR="007565E5" w:rsidRPr="00BF1C3A" w:rsidRDefault="00D3563E" w:rsidP="007565E5">
      <w:r w:rsidRPr="00BF1C3A">
        <w:rPr>
          <w:b/>
        </w:rPr>
        <w:t xml:space="preserve">You may use </w:t>
      </w:r>
      <w:r w:rsidR="00F70182" w:rsidRPr="00BF1C3A">
        <w:rPr>
          <w:b/>
        </w:rPr>
        <w:t>the parol e</w:t>
      </w:r>
      <w:r w:rsidR="007565E5" w:rsidRPr="00BF1C3A">
        <w:rPr>
          <w:b/>
        </w:rPr>
        <w:t>vidence rule as formul</w:t>
      </w:r>
      <w:r w:rsidRPr="00BF1C3A">
        <w:rPr>
          <w:b/>
        </w:rPr>
        <w:t>ated in class</w:t>
      </w:r>
      <w:r w:rsidR="007565E5" w:rsidRPr="00BF1C3A">
        <w:rPr>
          <w:b/>
        </w:rPr>
        <w:t>.</w:t>
      </w:r>
      <w:r w:rsidR="001A59BB" w:rsidRPr="00BF1C3A">
        <w:rPr>
          <w:b/>
        </w:rPr>
        <w:t xml:space="preserve">  Assume the written agreement about collard greens and soybeans says nothing at all about chitterlings and hog maws.</w:t>
      </w:r>
      <w:r w:rsidR="00280644">
        <w:rPr>
          <w:b/>
        </w:rPr>
        <w:t xml:space="preserve">  Use the normal inclusion test for scope. </w:t>
      </w:r>
      <w:r w:rsidR="007565E5" w:rsidRPr="00BF1C3A">
        <w:rPr>
          <w:b/>
        </w:rPr>
        <w:t xml:space="preserve">   </w:t>
      </w:r>
      <w:r w:rsidR="007565E5" w:rsidRPr="00BF1C3A">
        <w:t xml:space="preserve"> </w:t>
      </w:r>
    </w:p>
    <w:p w14:paraId="244931E9" w14:textId="77777777" w:rsidR="007C3279" w:rsidRPr="00BF1C3A" w:rsidRDefault="00BF72AA" w:rsidP="00B47F6B">
      <w:pPr>
        <w:pStyle w:val="FootnoteText"/>
        <w:rPr>
          <w:sz w:val="22"/>
          <w:szCs w:val="22"/>
        </w:rPr>
      </w:pPr>
      <w:r w:rsidRPr="00BF1C3A">
        <w:rPr>
          <w:sz w:val="22"/>
          <w:szCs w:val="22"/>
        </w:rPr>
        <w:t xml:space="preserve"> </w:t>
      </w:r>
    </w:p>
    <w:p w14:paraId="270C6F52" w14:textId="77777777" w:rsidR="009B4776" w:rsidRPr="00BF1C3A" w:rsidRDefault="009B4776" w:rsidP="00B47F6B">
      <w:pPr>
        <w:pStyle w:val="FootnoteText"/>
        <w:rPr>
          <w:sz w:val="22"/>
          <w:szCs w:val="22"/>
        </w:rPr>
      </w:pPr>
      <w:r w:rsidRPr="00BF1C3A">
        <w:rPr>
          <w:sz w:val="22"/>
          <w:szCs w:val="22"/>
        </w:rPr>
        <w:t xml:space="preserve">(3) Did the occurrence of the </w:t>
      </w:r>
      <w:r w:rsidR="00FD19DE" w:rsidRPr="00BF1C3A">
        <w:rPr>
          <w:sz w:val="22"/>
          <w:szCs w:val="22"/>
        </w:rPr>
        <w:t>hog maw</w:t>
      </w:r>
      <w:r w:rsidR="00AE7C3B" w:rsidRPr="00BF1C3A">
        <w:rPr>
          <w:sz w:val="22"/>
          <w:szCs w:val="22"/>
        </w:rPr>
        <w:t xml:space="preserve"> virus mean that Sowle was not obligated to pay Brill on June 20</w:t>
      </w:r>
      <w:r w:rsidRPr="00BF1C3A">
        <w:rPr>
          <w:sz w:val="22"/>
          <w:szCs w:val="22"/>
        </w:rPr>
        <w:t>?</w:t>
      </w:r>
      <w:r w:rsidR="003A3750" w:rsidRPr="00BF1C3A">
        <w:rPr>
          <w:sz w:val="22"/>
          <w:szCs w:val="22"/>
        </w:rPr>
        <w:t xml:space="preserve">  Assume that there is otherwise a legally enforceable obligation to pay.  </w:t>
      </w:r>
    </w:p>
    <w:p w14:paraId="231765B2" w14:textId="77777777" w:rsidR="009B4776" w:rsidRPr="00BF1C3A" w:rsidRDefault="009B4776" w:rsidP="00B47F6B">
      <w:pPr>
        <w:pStyle w:val="FootnoteText"/>
        <w:rPr>
          <w:sz w:val="22"/>
          <w:szCs w:val="22"/>
        </w:rPr>
      </w:pPr>
    </w:p>
    <w:p w14:paraId="53A52D63" w14:textId="77777777" w:rsidR="00860777" w:rsidRPr="00BF1C3A" w:rsidRDefault="00931210" w:rsidP="00B47F6B">
      <w:pPr>
        <w:pStyle w:val="FootnoteText"/>
        <w:rPr>
          <w:sz w:val="22"/>
          <w:szCs w:val="22"/>
        </w:rPr>
      </w:pPr>
      <w:r w:rsidRPr="00BF1C3A">
        <w:rPr>
          <w:sz w:val="22"/>
          <w:szCs w:val="22"/>
        </w:rPr>
        <w:t xml:space="preserve">(4)  </w:t>
      </w:r>
      <w:r w:rsidR="00804C98" w:rsidRPr="00BF1C3A">
        <w:rPr>
          <w:sz w:val="22"/>
          <w:szCs w:val="22"/>
        </w:rPr>
        <w:t>Brill claims:  (a) under Restatement 201, there is no</w:t>
      </w:r>
      <w:r w:rsidR="00821B20" w:rsidRPr="00BF1C3A">
        <w:rPr>
          <w:sz w:val="22"/>
          <w:szCs w:val="22"/>
        </w:rPr>
        <w:t xml:space="preserve"> contract</w:t>
      </w:r>
      <w:r w:rsidR="006C4058" w:rsidRPr="00BF1C3A">
        <w:rPr>
          <w:sz w:val="22"/>
          <w:szCs w:val="22"/>
        </w:rPr>
        <w:t xml:space="preserve"> for the delivery of the hog maws and chitterlings</w:t>
      </w:r>
      <w:r w:rsidR="00804C98" w:rsidRPr="00BF1C3A">
        <w:rPr>
          <w:sz w:val="22"/>
          <w:szCs w:val="22"/>
        </w:rPr>
        <w:t>; (b) under mistake doctrine, there is no contract</w:t>
      </w:r>
      <w:r w:rsidR="006C4058" w:rsidRPr="00BF1C3A">
        <w:rPr>
          <w:sz w:val="22"/>
          <w:szCs w:val="22"/>
        </w:rPr>
        <w:t xml:space="preserve"> for the delivery of the hog maws and chitterlings</w:t>
      </w:r>
      <w:r w:rsidR="00804C98" w:rsidRPr="00BF1C3A">
        <w:rPr>
          <w:sz w:val="22"/>
          <w:szCs w:val="22"/>
        </w:rPr>
        <w:t xml:space="preserve">; (c) because of (a) or (b) or both, he is entitled to recover in restitution for the reasonable value of the benefit conferred by delivering the chitterlings and hog maws.  Are Brill’s claims (a) and (b) true?  </w:t>
      </w:r>
    </w:p>
    <w:p w14:paraId="02CB1300" w14:textId="77777777" w:rsidR="008E4176" w:rsidRPr="00BF1C3A" w:rsidRDefault="008E4176" w:rsidP="00B47F6B">
      <w:pPr>
        <w:pStyle w:val="FootnoteText"/>
        <w:rPr>
          <w:sz w:val="22"/>
          <w:szCs w:val="22"/>
        </w:rPr>
      </w:pPr>
    </w:p>
    <w:p w14:paraId="43A486EB" w14:textId="77777777" w:rsidR="008E4176" w:rsidRPr="00BF1C3A" w:rsidRDefault="00342240" w:rsidP="00B47F6B">
      <w:pPr>
        <w:pStyle w:val="FootnoteText"/>
        <w:rPr>
          <w:b/>
          <w:sz w:val="22"/>
          <w:szCs w:val="22"/>
        </w:rPr>
      </w:pPr>
      <w:r w:rsidRPr="00BF1C3A">
        <w:rPr>
          <w:b/>
          <w:sz w:val="22"/>
          <w:szCs w:val="22"/>
        </w:rPr>
        <w:t>Assume Restatement 201 applies in this case, and a</w:t>
      </w:r>
      <w:r w:rsidR="008E4176" w:rsidRPr="00BF1C3A">
        <w:rPr>
          <w:b/>
          <w:sz w:val="22"/>
          <w:szCs w:val="22"/>
        </w:rPr>
        <w:t>pply the common law mistake doctrine, not any similar UCC doctrine.</w:t>
      </w:r>
    </w:p>
    <w:p w14:paraId="19D8CDC0" w14:textId="77777777" w:rsidR="00860777" w:rsidRPr="00BF1C3A" w:rsidRDefault="00860777" w:rsidP="00B47F6B">
      <w:pPr>
        <w:pStyle w:val="FootnoteText"/>
        <w:rPr>
          <w:sz w:val="22"/>
          <w:szCs w:val="22"/>
        </w:rPr>
      </w:pPr>
    </w:p>
    <w:p w14:paraId="2D5A0A34" w14:textId="77777777" w:rsidR="00FA61E2" w:rsidRPr="00BF1C3A" w:rsidRDefault="00860777" w:rsidP="00B47F6B">
      <w:pPr>
        <w:pStyle w:val="FootnoteText"/>
        <w:rPr>
          <w:sz w:val="22"/>
          <w:szCs w:val="22"/>
        </w:rPr>
      </w:pPr>
      <w:r w:rsidRPr="00BF1C3A">
        <w:rPr>
          <w:sz w:val="22"/>
          <w:szCs w:val="22"/>
        </w:rPr>
        <w:t xml:space="preserve">(5) No matter how you answer </w:t>
      </w:r>
      <w:r w:rsidR="00821B20" w:rsidRPr="00BF1C3A">
        <w:rPr>
          <w:sz w:val="22"/>
          <w:szCs w:val="22"/>
        </w:rPr>
        <w:t>question</w:t>
      </w:r>
      <w:r w:rsidRPr="00BF1C3A">
        <w:rPr>
          <w:sz w:val="22"/>
          <w:szCs w:val="22"/>
        </w:rPr>
        <w:t xml:space="preserve"> (4)</w:t>
      </w:r>
      <w:r w:rsidR="00821B20" w:rsidRPr="00BF1C3A">
        <w:rPr>
          <w:sz w:val="22"/>
          <w:szCs w:val="22"/>
        </w:rPr>
        <w:t xml:space="preserve">, </w:t>
      </w:r>
      <w:r w:rsidR="0056611A" w:rsidRPr="00BF1C3A">
        <w:rPr>
          <w:sz w:val="22"/>
          <w:szCs w:val="22"/>
        </w:rPr>
        <w:t>assume that the court finds there was no contract between Sowle and Brill</w:t>
      </w:r>
      <w:r w:rsidR="006C4058" w:rsidRPr="00BF1C3A">
        <w:rPr>
          <w:sz w:val="22"/>
          <w:szCs w:val="22"/>
        </w:rPr>
        <w:t xml:space="preserve"> for the delivery of the hog maws and chitterlings.</w:t>
      </w:r>
      <w:r w:rsidR="0056611A" w:rsidRPr="00BF1C3A">
        <w:rPr>
          <w:sz w:val="22"/>
          <w:szCs w:val="22"/>
        </w:rPr>
        <w:t xml:space="preserve">  What will Brill likely recover in restitution?  </w:t>
      </w:r>
      <w:r w:rsidR="00804C98" w:rsidRPr="00BF1C3A">
        <w:rPr>
          <w:sz w:val="22"/>
          <w:szCs w:val="22"/>
        </w:rPr>
        <w:t xml:space="preserve">    </w:t>
      </w:r>
    </w:p>
    <w:p w14:paraId="7246435B" w14:textId="77777777" w:rsidR="0064149D" w:rsidRPr="00BF1C3A" w:rsidRDefault="0064149D" w:rsidP="00B47F6B">
      <w:pPr>
        <w:pStyle w:val="FootnoteText"/>
        <w:rPr>
          <w:sz w:val="22"/>
          <w:szCs w:val="22"/>
        </w:rPr>
      </w:pPr>
    </w:p>
    <w:p w14:paraId="0C92EB6E" w14:textId="77777777" w:rsidR="004A2DE2" w:rsidRPr="00BF1C3A" w:rsidRDefault="004A2DE2" w:rsidP="00B47F6B">
      <w:pPr>
        <w:pStyle w:val="FootnoteText"/>
        <w:rPr>
          <w:sz w:val="22"/>
          <w:szCs w:val="22"/>
        </w:rPr>
      </w:pPr>
      <w:r w:rsidRPr="00BF1C3A">
        <w:rPr>
          <w:b/>
          <w:sz w:val="22"/>
          <w:szCs w:val="22"/>
        </w:rPr>
        <w:t>Use common law principles, not the UCC, in discussing restitution.</w:t>
      </w:r>
    </w:p>
    <w:p w14:paraId="7B5E87B1" w14:textId="77777777" w:rsidR="004A2DE2" w:rsidRPr="00BF1C3A" w:rsidRDefault="004A2DE2" w:rsidP="00B47F6B">
      <w:pPr>
        <w:pStyle w:val="FootnoteText"/>
        <w:rPr>
          <w:sz w:val="22"/>
          <w:szCs w:val="22"/>
        </w:rPr>
      </w:pPr>
    </w:p>
    <w:p w14:paraId="74887BFF" w14:textId="77777777" w:rsidR="00691175" w:rsidRPr="00BF1C3A" w:rsidRDefault="00691175" w:rsidP="00B47F6B">
      <w:pPr>
        <w:pStyle w:val="FootnoteText"/>
        <w:rPr>
          <w:sz w:val="22"/>
          <w:szCs w:val="22"/>
        </w:rPr>
      </w:pPr>
      <w:r w:rsidRPr="00BF1C3A">
        <w:rPr>
          <w:sz w:val="22"/>
          <w:szCs w:val="22"/>
        </w:rPr>
        <w:t>UCC Sections</w:t>
      </w:r>
    </w:p>
    <w:p w14:paraId="3309D8A7" w14:textId="77777777" w:rsidR="00691175" w:rsidRPr="00BF1C3A" w:rsidRDefault="00691175" w:rsidP="00B47F6B">
      <w:pPr>
        <w:pStyle w:val="FootnoteText"/>
        <w:rPr>
          <w:sz w:val="22"/>
          <w:szCs w:val="22"/>
        </w:rPr>
      </w:pPr>
    </w:p>
    <w:p w14:paraId="1BC9519E" w14:textId="77777777" w:rsidR="00691175" w:rsidRPr="00BF1C3A" w:rsidRDefault="00691175" w:rsidP="00B47F6B">
      <w:pPr>
        <w:pStyle w:val="FootnoteText"/>
        <w:rPr>
          <w:b/>
          <w:sz w:val="22"/>
          <w:szCs w:val="22"/>
        </w:rPr>
      </w:pPr>
      <w:r w:rsidRPr="00BF1C3A">
        <w:rPr>
          <w:b/>
          <w:sz w:val="22"/>
          <w:szCs w:val="22"/>
        </w:rPr>
        <w:t>Caution:  Not all sections are relevant.</w:t>
      </w:r>
    </w:p>
    <w:p w14:paraId="154CD0CD" w14:textId="77777777" w:rsidR="0054518D" w:rsidRPr="00BF1C3A" w:rsidRDefault="0054518D" w:rsidP="00AE4FB9">
      <w:pPr>
        <w:pStyle w:val="FootnoteText"/>
        <w:rPr>
          <w:sz w:val="22"/>
          <w:szCs w:val="22"/>
        </w:rPr>
      </w:pPr>
    </w:p>
    <w:p w14:paraId="3EF2F701" w14:textId="77777777" w:rsidR="00AE4FB9" w:rsidRPr="00BF1C3A" w:rsidRDefault="00AE4FB9" w:rsidP="00AE4FB9">
      <w:pPr>
        <w:pStyle w:val="FootnoteText"/>
        <w:rPr>
          <w:sz w:val="22"/>
          <w:szCs w:val="22"/>
        </w:rPr>
      </w:pPr>
      <w:r w:rsidRPr="00BF1C3A">
        <w:rPr>
          <w:sz w:val="22"/>
          <w:szCs w:val="22"/>
        </w:rPr>
        <w:t>§ 2-202. Final Written Expression: Parol or Extrinsic Evidence.</w:t>
      </w:r>
    </w:p>
    <w:p w14:paraId="09FAB37D" w14:textId="77777777" w:rsidR="00AE4FB9" w:rsidRPr="00BF1C3A" w:rsidRDefault="00AE4FB9" w:rsidP="00AE4FB9">
      <w:pPr>
        <w:pStyle w:val="FootnoteText"/>
        <w:rPr>
          <w:sz w:val="22"/>
          <w:szCs w:val="22"/>
        </w:rPr>
      </w:pPr>
    </w:p>
    <w:p w14:paraId="71C478E1" w14:textId="77777777" w:rsidR="00AE4FB9" w:rsidRPr="00BF1C3A" w:rsidRDefault="00AE4FB9" w:rsidP="00AE4FB9">
      <w:pPr>
        <w:pStyle w:val="FootnoteText"/>
        <w:rPr>
          <w:sz w:val="22"/>
          <w:szCs w:val="22"/>
        </w:rPr>
      </w:pPr>
      <w:r w:rsidRPr="00BF1C3A">
        <w:rPr>
          <w:sz w:val="22"/>
          <w:szCs w:val="22"/>
        </w:rPr>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14:paraId="195E51F7" w14:textId="77777777" w:rsidR="00AE4FB9" w:rsidRPr="00BF1C3A" w:rsidRDefault="00AE4FB9" w:rsidP="00AE4FB9">
      <w:pPr>
        <w:pStyle w:val="FootnoteText"/>
        <w:rPr>
          <w:sz w:val="22"/>
          <w:szCs w:val="22"/>
        </w:rPr>
      </w:pPr>
    </w:p>
    <w:p w14:paraId="527B3EE1" w14:textId="77777777" w:rsidR="00AE4FB9" w:rsidRPr="00BF1C3A" w:rsidRDefault="00AE4FB9" w:rsidP="00AE4FB9">
      <w:pPr>
        <w:pStyle w:val="FootnoteText"/>
        <w:rPr>
          <w:sz w:val="22"/>
          <w:szCs w:val="22"/>
        </w:rPr>
      </w:pPr>
      <w:r w:rsidRPr="00BF1C3A">
        <w:rPr>
          <w:sz w:val="22"/>
          <w:szCs w:val="22"/>
        </w:rPr>
        <w:t>(a) by course of dealing or usage of trade (Section 1-205) or by course of performance (Section 2-208); and</w:t>
      </w:r>
    </w:p>
    <w:p w14:paraId="5D2828E2" w14:textId="77777777" w:rsidR="00AE4FB9" w:rsidRPr="00BF1C3A" w:rsidRDefault="00AE4FB9" w:rsidP="00AE4FB9">
      <w:pPr>
        <w:pStyle w:val="FootnoteText"/>
        <w:rPr>
          <w:sz w:val="22"/>
          <w:szCs w:val="22"/>
        </w:rPr>
      </w:pPr>
    </w:p>
    <w:p w14:paraId="68B55C90" w14:textId="77777777" w:rsidR="00AE4FB9" w:rsidRPr="00BF1C3A" w:rsidRDefault="00AE4FB9" w:rsidP="00AE4FB9">
      <w:pPr>
        <w:pStyle w:val="FootnoteText"/>
        <w:rPr>
          <w:sz w:val="22"/>
          <w:szCs w:val="22"/>
        </w:rPr>
      </w:pPr>
      <w:r w:rsidRPr="00BF1C3A">
        <w:rPr>
          <w:sz w:val="22"/>
          <w:szCs w:val="22"/>
        </w:rPr>
        <w:lastRenderedPageBreak/>
        <w:t xml:space="preserve">(b) by evidence of consistent additional terms unless the court finds the writing to have been intended also as a complete and exclusive statement of the terms of the </w:t>
      </w:r>
      <w:proofErr w:type="gramStart"/>
      <w:r w:rsidRPr="00BF1C3A">
        <w:rPr>
          <w:sz w:val="22"/>
          <w:szCs w:val="22"/>
        </w:rPr>
        <w:t>agreement .</w:t>
      </w:r>
      <w:proofErr w:type="gramEnd"/>
    </w:p>
    <w:p w14:paraId="10ACE0D3" w14:textId="77777777" w:rsidR="00AE4FB9" w:rsidRPr="00BF1C3A" w:rsidRDefault="00AE4FB9" w:rsidP="00AE4FB9">
      <w:pPr>
        <w:pStyle w:val="FootnoteText"/>
        <w:rPr>
          <w:sz w:val="22"/>
          <w:szCs w:val="22"/>
        </w:rPr>
      </w:pPr>
    </w:p>
    <w:p w14:paraId="5339B054" w14:textId="77777777" w:rsidR="007F4891" w:rsidRPr="00BF1C3A" w:rsidRDefault="007F4891" w:rsidP="007F4891">
      <w:pPr>
        <w:pStyle w:val="FootnoteText"/>
        <w:rPr>
          <w:sz w:val="22"/>
          <w:szCs w:val="22"/>
        </w:rPr>
      </w:pPr>
      <w:r w:rsidRPr="00BF1C3A">
        <w:rPr>
          <w:sz w:val="22"/>
          <w:szCs w:val="22"/>
        </w:rPr>
        <w:t>§ 2-207. Additional Terms in Acceptance or Confirmation.</w:t>
      </w:r>
    </w:p>
    <w:p w14:paraId="672E70C3" w14:textId="77777777" w:rsidR="007F4891" w:rsidRPr="00BF1C3A" w:rsidRDefault="007F4891" w:rsidP="007F4891">
      <w:pPr>
        <w:pStyle w:val="FootnoteText"/>
        <w:rPr>
          <w:sz w:val="22"/>
          <w:szCs w:val="22"/>
        </w:rPr>
      </w:pPr>
    </w:p>
    <w:p w14:paraId="7BA8D868" w14:textId="77777777" w:rsidR="007F4891" w:rsidRPr="00BF1C3A" w:rsidRDefault="007F4891" w:rsidP="007F4891">
      <w:pPr>
        <w:pStyle w:val="FootnoteText"/>
        <w:rPr>
          <w:sz w:val="22"/>
          <w:szCs w:val="22"/>
        </w:rPr>
      </w:pPr>
      <w:r w:rsidRPr="00BF1C3A">
        <w:rPr>
          <w:sz w:val="22"/>
          <w:szCs w:val="22"/>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14:paraId="1782F962" w14:textId="77777777" w:rsidR="007F4891" w:rsidRPr="00BF1C3A" w:rsidRDefault="007F4891" w:rsidP="007F4891">
      <w:pPr>
        <w:pStyle w:val="FootnoteText"/>
        <w:rPr>
          <w:sz w:val="22"/>
          <w:szCs w:val="22"/>
        </w:rPr>
      </w:pPr>
    </w:p>
    <w:p w14:paraId="16A5D1C9" w14:textId="77777777" w:rsidR="007F4891" w:rsidRPr="00BF1C3A" w:rsidRDefault="007F4891" w:rsidP="007F4891">
      <w:pPr>
        <w:pStyle w:val="FootnoteText"/>
        <w:rPr>
          <w:sz w:val="22"/>
          <w:szCs w:val="22"/>
        </w:rPr>
      </w:pPr>
      <w:r w:rsidRPr="00BF1C3A">
        <w:rPr>
          <w:sz w:val="22"/>
          <w:szCs w:val="22"/>
        </w:rPr>
        <w:t>(2) The additional terms are to be construed as proposals for addition to the contract. Between merchants such terms become part of the contract unless:</w:t>
      </w:r>
    </w:p>
    <w:p w14:paraId="726DD3CC" w14:textId="77777777" w:rsidR="007F4891" w:rsidRPr="00BF1C3A" w:rsidRDefault="007F4891" w:rsidP="007F4891">
      <w:pPr>
        <w:pStyle w:val="FootnoteText"/>
        <w:rPr>
          <w:sz w:val="22"/>
          <w:szCs w:val="22"/>
        </w:rPr>
      </w:pPr>
    </w:p>
    <w:p w14:paraId="7A6339C2" w14:textId="77777777" w:rsidR="007F4891" w:rsidRPr="00BF1C3A" w:rsidRDefault="007F4891" w:rsidP="007F4891">
      <w:pPr>
        <w:pStyle w:val="FootnoteText"/>
        <w:rPr>
          <w:sz w:val="22"/>
          <w:szCs w:val="22"/>
        </w:rPr>
      </w:pPr>
      <w:r w:rsidRPr="00BF1C3A">
        <w:rPr>
          <w:sz w:val="22"/>
          <w:szCs w:val="22"/>
        </w:rPr>
        <w:t>(a) the offer expressly limits acceptance to the terms of the offer;</w:t>
      </w:r>
    </w:p>
    <w:p w14:paraId="4BABC308" w14:textId="77777777" w:rsidR="007F4891" w:rsidRPr="00BF1C3A" w:rsidRDefault="007F4891" w:rsidP="007F4891">
      <w:pPr>
        <w:pStyle w:val="FootnoteText"/>
        <w:rPr>
          <w:sz w:val="22"/>
          <w:szCs w:val="22"/>
        </w:rPr>
      </w:pPr>
      <w:r w:rsidRPr="00BF1C3A">
        <w:rPr>
          <w:sz w:val="22"/>
          <w:szCs w:val="22"/>
        </w:rPr>
        <w:t>(b) they materially alter it; or</w:t>
      </w:r>
    </w:p>
    <w:p w14:paraId="1765F7FB" w14:textId="77777777" w:rsidR="007F4891" w:rsidRPr="00BF1C3A" w:rsidRDefault="007F4891" w:rsidP="007F4891">
      <w:pPr>
        <w:pStyle w:val="FootnoteText"/>
        <w:rPr>
          <w:sz w:val="22"/>
          <w:szCs w:val="22"/>
        </w:rPr>
      </w:pPr>
      <w:r w:rsidRPr="00BF1C3A">
        <w:rPr>
          <w:sz w:val="22"/>
          <w:szCs w:val="22"/>
        </w:rPr>
        <w:t>(c) notification of objection to them has already been given or is given within a reasonable time after notice of them is received.</w:t>
      </w:r>
    </w:p>
    <w:p w14:paraId="3DE70524" w14:textId="77777777" w:rsidR="007F4891" w:rsidRPr="00BF1C3A" w:rsidRDefault="007F4891" w:rsidP="007F4891">
      <w:pPr>
        <w:pStyle w:val="FootnoteText"/>
        <w:rPr>
          <w:sz w:val="22"/>
          <w:szCs w:val="22"/>
        </w:rPr>
      </w:pPr>
    </w:p>
    <w:p w14:paraId="62BD0F51" w14:textId="77777777" w:rsidR="007F4891" w:rsidRPr="00BF1C3A" w:rsidRDefault="007F4891" w:rsidP="007F4891">
      <w:pPr>
        <w:pStyle w:val="FootnoteText"/>
        <w:rPr>
          <w:sz w:val="22"/>
          <w:szCs w:val="22"/>
        </w:rPr>
      </w:pPr>
      <w:r w:rsidRPr="00BF1C3A">
        <w:rPr>
          <w:sz w:val="22"/>
          <w:szCs w:val="22"/>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14:paraId="0A017D15" w14:textId="77777777" w:rsidR="007F4891" w:rsidRPr="00BF1C3A" w:rsidRDefault="007F4891" w:rsidP="007F4891">
      <w:pPr>
        <w:pStyle w:val="FootnoteText"/>
        <w:rPr>
          <w:sz w:val="22"/>
          <w:szCs w:val="22"/>
        </w:rPr>
      </w:pPr>
    </w:p>
    <w:p w14:paraId="76283C42" w14:textId="77777777" w:rsidR="0054518D" w:rsidRPr="00BF1C3A" w:rsidRDefault="0054518D" w:rsidP="0054518D">
      <w:pPr>
        <w:pStyle w:val="FootnoteText"/>
        <w:rPr>
          <w:sz w:val="22"/>
          <w:szCs w:val="22"/>
        </w:rPr>
      </w:pPr>
      <w:r w:rsidRPr="00BF1C3A">
        <w:rPr>
          <w:sz w:val="22"/>
          <w:szCs w:val="22"/>
        </w:rPr>
        <w:t>§ 2-315. Implied Warranty: Fitness for Particular Purpose.</w:t>
      </w:r>
    </w:p>
    <w:p w14:paraId="009CA192" w14:textId="77777777" w:rsidR="0054518D" w:rsidRPr="00BF1C3A" w:rsidRDefault="0054518D" w:rsidP="0054518D">
      <w:pPr>
        <w:pStyle w:val="FootnoteText"/>
        <w:rPr>
          <w:sz w:val="22"/>
          <w:szCs w:val="22"/>
        </w:rPr>
      </w:pPr>
    </w:p>
    <w:p w14:paraId="13EF1F9B" w14:textId="77777777" w:rsidR="0054518D" w:rsidRPr="00BF1C3A" w:rsidRDefault="0054518D" w:rsidP="0054518D">
      <w:pPr>
        <w:pStyle w:val="FootnoteText"/>
        <w:rPr>
          <w:sz w:val="22"/>
          <w:szCs w:val="22"/>
        </w:rPr>
      </w:pPr>
      <w:r w:rsidRPr="00BF1C3A">
        <w:rPr>
          <w:sz w:val="22"/>
          <w:szCs w:val="22"/>
        </w:rPr>
        <w:t>Where the seller at the time of contracting has reason to know any particular purpose for which the goods are required and that the buyer is relying on the seller's skill or judgment to select or furnish suitable goods, there is unless excluded or modified under the next section an implied warranty that the goods shall be fit for such purpose.</w:t>
      </w:r>
    </w:p>
    <w:p w14:paraId="579C2E50" w14:textId="77777777" w:rsidR="007F4891" w:rsidRPr="00BF1C3A" w:rsidRDefault="007F4891" w:rsidP="00BD7D3E">
      <w:pPr>
        <w:pStyle w:val="FootnoteText"/>
        <w:rPr>
          <w:sz w:val="22"/>
          <w:szCs w:val="22"/>
        </w:rPr>
      </w:pPr>
    </w:p>
    <w:p w14:paraId="1DA99077" w14:textId="77777777" w:rsidR="00BD7D3E" w:rsidRPr="00BF1C3A" w:rsidRDefault="00BD7D3E" w:rsidP="00BD7D3E">
      <w:pPr>
        <w:pStyle w:val="FootnoteText"/>
        <w:rPr>
          <w:sz w:val="22"/>
          <w:szCs w:val="22"/>
        </w:rPr>
      </w:pPr>
      <w:r w:rsidRPr="00BF1C3A">
        <w:rPr>
          <w:sz w:val="22"/>
          <w:szCs w:val="22"/>
        </w:rPr>
        <w:t>§ 2-508. Cure by Seller of Improper Tender or Delivery; Replacement.</w:t>
      </w:r>
    </w:p>
    <w:p w14:paraId="0D17D57D" w14:textId="77777777" w:rsidR="00BD7D3E" w:rsidRPr="00BF1C3A" w:rsidRDefault="00BD7D3E" w:rsidP="00BD7D3E">
      <w:pPr>
        <w:pStyle w:val="FootnoteText"/>
        <w:rPr>
          <w:sz w:val="22"/>
          <w:szCs w:val="22"/>
        </w:rPr>
      </w:pPr>
    </w:p>
    <w:p w14:paraId="6665CEFC" w14:textId="77777777" w:rsidR="00BD7D3E" w:rsidRPr="00BF1C3A" w:rsidRDefault="00BD7D3E" w:rsidP="00BD7D3E">
      <w:pPr>
        <w:pStyle w:val="FootnoteText"/>
        <w:rPr>
          <w:sz w:val="22"/>
          <w:szCs w:val="22"/>
        </w:rPr>
      </w:pPr>
      <w:r w:rsidRPr="00BF1C3A">
        <w:rPr>
          <w:sz w:val="22"/>
          <w:szCs w:val="22"/>
        </w:rPr>
        <w:t>(1) Where any tender or delivery by the seller is rejected because non-conforming and the time for performance has not yet expired, the seller may seasonably notify the buyer of his intention to cure and may then within the contract time make a conforming delivery.</w:t>
      </w:r>
    </w:p>
    <w:p w14:paraId="6AC28AB0" w14:textId="77777777" w:rsidR="00BD7D3E" w:rsidRPr="00BF1C3A" w:rsidRDefault="00BD7D3E" w:rsidP="00BD7D3E">
      <w:pPr>
        <w:pStyle w:val="FootnoteText"/>
        <w:rPr>
          <w:sz w:val="22"/>
          <w:szCs w:val="22"/>
        </w:rPr>
      </w:pPr>
    </w:p>
    <w:p w14:paraId="444F666B" w14:textId="77777777" w:rsidR="00BD7D3E" w:rsidRPr="00BF1C3A" w:rsidRDefault="00BD7D3E" w:rsidP="00BD7D3E">
      <w:pPr>
        <w:pStyle w:val="FootnoteText"/>
        <w:rPr>
          <w:sz w:val="22"/>
          <w:szCs w:val="22"/>
        </w:rPr>
      </w:pPr>
      <w:r w:rsidRPr="00BF1C3A">
        <w:rPr>
          <w:sz w:val="22"/>
          <w:szCs w:val="22"/>
        </w:rPr>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14:paraId="3518E09A" w14:textId="77777777" w:rsidR="00BD7D3E" w:rsidRPr="00BF1C3A" w:rsidRDefault="00BD7D3E" w:rsidP="00B47F6B">
      <w:pPr>
        <w:pStyle w:val="FootnoteText"/>
        <w:rPr>
          <w:b/>
          <w:sz w:val="22"/>
          <w:szCs w:val="22"/>
        </w:rPr>
      </w:pPr>
    </w:p>
    <w:p w14:paraId="166D4399" w14:textId="77777777" w:rsidR="00F33454" w:rsidRPr="00BF1C3A" w:rsidRDefault="00F33454" w:rsidP="00F33454">
      <w:pPr>
        <w:pStyle w:val="FootnoteText"/>
        <w:rPr>
          <w:sz w:val="22"/>
          <w:szCs w:val="22"/>
        </w:rPr>
      </w:pPr>
      <w:r w:rsidRPr="00BF1C3A">
        <w:rPr>
          <w:sz w:val="22"/>
          <w:szCs w:val="22"/>
        </w:rPr>
        <w:t>§ 2-609. Right to Adequate Assurance of Performance.</w:t>
      </w:r>
    </w:p>
    <w:p w14:paraId="78C6FB47" w14:textId="77777777" w:rsidR="00F33454" w:rsidRPr="00BF1C3A" w:rsidRDefault="00F33454" w:rsidP="00F33454">
      <w:pPr>
        <w:pStyle w:val="FootnoteText"/>
        <w:rPr>
          <w:sz w:val="22"/>
          <w:szCs w:val="22"/>
        </w:rPr>
      </w:pPr>
    </w:p>
    <w:p w14:paraId="04A2C390" w14:textId="77777777" w:rsidR="00691175" w:rsidRPr="00BF1C3A" w:rsidRDefault="00F33454" w:rsidP="00F33454">
      <w:pPr>
        <w:pStyle w:val="FootnoteText"/>
        <w:rPr>
          <w:sz w:val="22"/>
          <w:szCs w:val="22"/>
        </w:rPr>
      </w:pPr>
      <w:r w:rsidRPr="00BF1C3A">
        <w:rPr>
          <w:sz w:val="22"/>
          <w:szCs w:val="22"/>
        </w:rPr>
        <w:t>(1) 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14:paraId="73352D06" w14:textId="77777777" w:rsidR="00F33454" w:rsidRPr="00BF1C3A" w:rsidRDefault="00F33454" w:rsidP="00F33454">
      <w:pPr>
        <w:pStyle w:val="FootnoteText"/>
        <w:rPr>
          <w:sz w:val="22"/>
          <w:szCs w:val="22"/>
        </w:rPr>
      </w:pPr>
    </w:p>
    <w:p w14:paraId="5A0D247B" w14:textId="77777777" w:rsidR="00AE4FB9" w:rsidRPr="00BF1C3A" w:rsidRDefault="00AE4FB9" w:rsidP="00AE4FB9">
      <w:pPr>
        <w:pStyle w:val="FootnoteText"/>
        <w:rPr>
          <w:sz w:val="22"/>
          <w:szCs w:val="22"/>
        </w:rPr>
      </w:pPr>
      <w:r w:rsidRPr="00BF1C3A">
        <w:rPr>
          <w:sz w:val="22"/>
          <w:szCs w:val="22"/>
        </w:rPr>
        <w:t>§ 2-715. Buyer's Incidental and Consequential Damages.</w:t>
      </w:r>
    </w:p>
    <w:p w14:paraId="453D72B4" w14:textId="77777777" w:rsidR="00AE4FB9" w:rsidRPr="00BF1C3A" w:rsidRDefault="00AE4FB9" w:rsidP="00AE4FB9">
      <w:pPr>
        <w:pStyle w:val="FootnoteText"/>
        <w:rPr>
          <w:sz w:val="22"/>
          <w:szCs w:val="22"/>
        </w:rPr>
      </w:pPr>
    </w:p>
    <w:p w14:paraId="61662C12" w14:textId="77777777" w:rsidR="00AE4FB9" w:rsidRPr="00BF1C3A" w:rsidRDefault="00AE4FB9" w:rsidP="00AE4FB9">
      <w:pPr>
        <w:pStyle w:val="FootnoteText"/>
        <w:rPr>
          <w:sz w:val="22"/>
          <w:szCs w:val="22"/>
        </w:rPr>
      </w:pPr>
      <w:r w:rsidRPr="00BF1C3A">
        <w:rPr>
          <w:sz w:val="22"/>
          <w:szCs w:val="22"/>
        </w:rPr>
        <w:t>(1) 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14:paraId="27B58FB9" w14:textId="77777777" w:rsidR="00AE4FB9" w:rsidRPr="00BF1C3A" w:rsidRDefault="00AE4FB9" w:rsidP="00AE4FB9">
      <w:pPr>
        <w:pStyle w:val="FootnoteText"/>
        <w:rPr>
          <w:sz w:val="22"/>
          <w:szCs w:val="22"/>
        </w:rPr>
      </w:pPr>
    </w:p>
    <w:p w14:paraId="7B57763C" w14:textId="77777777" w:rsidR="00AE4FB9" w:rsidRPr="00BF1C3A" w:rsidRDefault="00AE4FB9" w:rsidP="00AE4FB9">
      <w:pPr>
        <w:pStyle w:val="FootnoteText"/>
        <w:rPr>
          <w:sz w:val="22"/>
          <w:szCs w:val="22"/>
        </w:rPr>
      </w:pPr>
      <w:r w:rsidRPr="00BF1C3A">
        <w:rPr>
          <w:sz w:val="22"/>
          <w:szCs w:val="22"/>
        </w:rPr>
        <w:t>(2) Consequential damages resulting from the seller's breach include</w:t>
      </w:r>
    </w:p>
    <w:p w14:paraId="655FC751" w14:textId="77777777" w:rsidR="00AE4FB9" w:rsidRPr="00BF1C3A" w:rsidRDefault="00AE4FB9" w:rsidP="00AE4FB9">
      <w:pPr>
        <w:pStyle w:val="FootnoteText"/>
        <w:rPr>
          <w:sz w:val="22"/>
          <w:szCs w:val="22"/>
        </w:rPr>
      </w:pPr>
    </w:p>
    <w:p w14:paraId="266E6171" w14:textId="77777777" w:rsidR="00AE4FB9" w:rsidRPr="00BF1C3A" w:rsidRDefault="00AE4FB9" w:rsidP="00AE4FB9">
      <w:pPr>
        <w:pStyle w:val="FootnoteText"/>
        <w:rPr>
          <w:sz w:val="22"/>
          <w:szCs w:val="22"/>
        </w:rPr>
      </w:pPr>
      <w:r w:rsidRPr="00BF1C3A">
        <w:rPr>
          <w:sz w:val="22"/>
          <w:szCs w:val="22"/>
        </w:rPr>
        <w:t>(a) any loss resulting from general or particular requirements and needs of which the seller at the time of contracting had reason to know and which could not reasonably be prevented by cover or otherwise; and</w:t>
      </w:r>
    </w:p>
    <w:p w14:paraId="739CFEEB" w14:textId="77777777" w:rsidR="0054518D" w:rsidRPr="00BF1C3A" w:rsidRDefault="0054518D" w:rsidP="00AE4FB9">
      <w:pPr>
        <w:pStyle w:val="FootnoteText"/>
        <w:rPr>
          <w:sz w:val="22"/>
          <w:szCs w:val="22"/>
        </w:rPr>
      </w:pPr>
    </w:p>
    <w:p w14:paraId="68EC7986" w14:textId="77777777" w:rsidR="004F59AE" w:rsidRPr="00BF1C3A" w:rsidRDefault="00AE4FB9" w:rsidP="00AE4FB9">
      <w:pPr>
        <w:pStyle w:val="FootnoteText"/>
        <w:rPr>
          <w:sz w:val="22"/>
          <w:szCs w:val="22"/>
        </w:rPr>
      </w:pPr>
      <w:r w:rsidRPr="00BF1C3A">
        <w:rPr>
          <w:sz w:val="22"/>
          <w:szCs w:val="22"/>
        </w:rPr>
        <w:t>(b) injury to person or property proximately resulting from any breach of warranty.</w:t>
      </w:r>
    </w:p>
    <w:sectPr w:rsidR="004F59AE" w:rsidRPr="00BF1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CA"/>
    <w:rsid w:val="00017547"/>
    <w:rsid w:val="00020854"/>
    <w:rsid w:val="00051DE4"/>
    <w:rsid w:val="000708D2"/>
    <w:rsid w:val="000801C5"/>
    <w:rsid w:val="000962C3"/>
    <w:rsid w:val="000B58FB"/>
    <w:rsid w:val="000B6DEC"/>
    <w:rsid w:val="000C5D94"/>
    <w:rsid w:val="000F3FAB"/>
    <w:rsid w:val="0013702F"/>
    <w:rsid w:val="001A59BB"/>
    <w:rsid w:val="001D07A3"/>
    <w:rsid w:val="00280644"/>
    <w:rsid w:val="00287032"/>
    <w:rsid w:val="002A4223"/>
    <w:rsid w:val="00331E19"/>
    <w:rsid w:val="00342240"/>
    <w:rsid w:val="00346361"/>
    <w:rsid w:val="003A3750"/>
    <w:rsid w:val="003A53BC"/>
    <w:rsid w:val="003C1C02"/>
    <w:rsid w:val="003D4B6C"/>
    <w:rsid w:val="004153CC"/>
    <w:rsid w:val="00485068"/>
    <w:rsid w:val="0049698C"/>
    <w:rsid w:val="004A2DE2"/>
    <w:rsid w:val="004B72C7"/>
    <w:rsid w:val="004C2910"/>
    <w:rsid w:val="004F02DE"/>
    <w:rsid w:val="004F59AE"/>
    <w:rsid w:val="00505764"/>
    <w:rsid w:val="0054518D"/>
    <w:rsid w:val="0056611A"/>
    <w:rsid w:val="00571B52"/>
    <w:rsid w:val="0059073A"/>
    <w:rsid w:val="005D2F87"/>
    <w:rsid w:val="00617961"/>
    <w:rsid w:val="0064149D"/>
    <w:rsid w:val="00642608"/>
    <w:rsid w:val="00653890"/>
    <w:rsid w:val="00654E2D"/>
    <w:rsid w:val="00657790"/>
    <w:rsid w:val="00663C17"/>
    <w:rsid w:val="0066754F"/>
    <w:rsid w:val="00691175"/>
    <w:rsid w:val="006A5000"/>
    <w:rsid w:val="006C4058"/>
    <w:rsid w:val="006F4527"/>
    <w:rsid w:val="007565E5"/>
    <w:rsid w:val="0076794F"/>
    <w:rsid w:val="00790426"/>
    <w:rsid w:val="007C3279"/>
    <w:rsid w:val="007F4891"/>
    <w:rsid w:val="00804C98"/>
    <w:rsid w:val="00821B20"/>
    <w:rsid w:val="00860777"/>
    <w:rsid w:val="0087281E"/>
    <w:rsid w:val="008B78FD"/>
    <w:rsid w:val="008E4176"/>
    <w:rsid w:val="008F2F56"/>
    <w:rsid w:val="00931210"/>
    <w:rsid w:val="00974774"/>
    <w:rsid w:val="009B4776"/>
    <w:rsid w:val="009C649A"/>
    <w:rsid w:val="009F63A5"/>
    <w:rsid w:val="00A43B7E"/>
    <w:rsid w:val="00A47CC0"/>
    <w:rsid w:val="00A503A9"/>
    <w:rsid w:val="00AA194F"/>
    <w:rsid w:val="00AB1383"/>
    <w:rsid w:val="00AD3A3A"/>
    <w:rsid w:val="00AE4FB9"/>
    <w:rsid w:val="00AE7C3B"/>
    <w:rsid w:val="00B248CF"/>
    <w:rsid w:val="00B309E9"/>
    <w:rsid w:val="00B47F6B"/>
    <w:rsid w:val="00B821E0"/>
    <w:rsid w:val="00BD7D3E"/>
    <w:rsid w:val="00BE0295"/>
    <w:rsid w:val="00BF07BE"/>
    <w:rsid w:val="00BF1C3A"/>
    <w:rsid w:val="00BF36D4"/>
    <w:rsid w:val="00BF72AA"/>
    <w:rsid w:val="00C62986"/>
    <w:rsid w:val="00C82B6C"/>
    <w:rsid w:val="00CB700A"/>
    <w:rsid w:val="00CC3AD3"/>
    <w:rsid w:val="00CE1BCA"/>
    <w:rsid w:val="00CE5FBA"/>
    <w:rsid w:val="00D3563E"/>
    <w:rsid w:val="00D76991"/>
    <w:rsid w:val="00DC773E"/>
    <w:rsid w:val="00DF42B9"/>
    <w:rsid w:val="00E31184"/>
    <w:rsid w:val="00E406D7"/>
    <w:rsid w:val="00E9681A"/>
    <w:rsid w:val="00EB4277"/>
    <w:rsid w:val="00EE2FF0"/>
    <w:rsid w:val="00EE3617"/>
    <w:rsid w:val="00EE36A2"/>
    <w:rsid w:val="00F33454"/>
    <w:rsid w:val="00F35320"/>
    <w:rsid w:val="00F61214"/>
    <w:rsid w:val="00F70182"/>
    <w:rsid w:val="00F831E9"/>
    <w:rsid w:val="00F97E2D"/>
    <w:rsid w:val="00FA61E2"/>
    <w:rsid w:val="00FA671D"/>
    <w:rsid w:val="00F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E3612"/>
  <w15:chartTrackingRefBased/>
  <w15:docId w15:val="{3FF9E3B1-B780-4222-A349-BD985471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FootnoteText"/>
    <w:qFormat/>
    <w:rsid w:val="00B309E9"/>
    <w:rPr>
      <w:rFonts w:ascii="Verdana" w:hAnsi="Verdan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B309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3121">
      <w:bodyDiv w:val="1"/>
      <w:marLeft w:val="0"/>
      <w:marRight w:val="0"/>
      <w:marTop w:val="0"/>
      <w:marBottom w:val="0"/>
      <w:divBdr>
        <w:top w:val="none" w:sz="0" w:space="0" w:color="auto"/>
        <w:left w:val="none" w:sz="0" w:space="0" w:color="auto"/>
        <w:bottom w:val="none" w:sz="0" w:space="0" w:color="auto"/>
        <w:right w:val="none" w:sz="0" w:space="0" w:color="auto"/>
      </w:divBdr>
    </w:div>
    <w:div w:id="596212615">
      <w:bodyDiv w:val="1"/>
      <w:marLeft w:val="0"/>
      <w:marRight w:val="0"/>
      <w:marTop w:val="0"/>
      <w:marBottom w:val="0"/>
      <w:divBdr>
        <w:top w:val="none" w:sz="0" w:space="0" w:color="auto"/>
        <w:left w:val="none" w:sz="0" w:space="0" w:color="auto"/>
        <w:bottom w:val="none" w:sz="0" w:space="0" w:color="auto"/>
        <w:right w:val="none" w:sz="0" w:space="0" w:color="auto"/>
      </w:divBdr>
    </w:div>
    <w:div w:id="816150746">
      <w:bodyDiv w:val="1"/>
      <w:marLeft w:val="0"/>
      <w:marRight w:val="0"/>
      <w:marTop w:val="0"/>
      <w:marBottom w:val="0"/>
      <w:divBdr>
        <w:top w:val="none" w:sz="0" w:space="0" w:color="auto"/>
        <w:left w:val="none" w:sz="0" w:space="0" w:color="auto"/>
        <w:bottom w:val="none" w:sz="0" w:space="0" w:color="auto"/>
        <w:right w:val="none" w:sz="0" w:space="0" w:color="auto"/>
      </w:divBdr>
    </w:div>
    <w:div w:id="970017820">
      <w:bodyDiv w:val="1"/>
      <w:marLeft w:val="0"/>
      <w:marRight w:val="0"/>
      <w:marTop w:val="0"/>
      <w:marBottom w:val="0"/>
      <w:divBdr>
        <w:top w:val="none" w:sz="0" w:space="0" w:color="auto"/>
        <w:left w:val="none" w:sz="0" w:space="0" w:color="auto"/>
        <w:bottom w:val="none" w:sz="0" w:space="0" w:color="auto"/>
        <w:right w:val="none" w:sz="0" w:space="0" w:color="auto"/>
      </w:divBdr>
    </w:div>
    <w:div w:id="1188716338">
      <w:bodyDiv w:val="1"/>
      <w:marLeft w:val="0"/>
      <w:marRight w:val="0"/>
      <w:marTop w:val="0"/>
      <w:marBottom w:val="0"/>
      <w:divBdr>
        <w:top w:val="none" w:sz="0" w:space="0" w:color="auto"/>
        <w:left w:val="none" w:sz="0" w:space="0" w:color="auto"/>
        <w:bottom w:val="none" w:sz="0" w:space="0" w:color="auto"/>
        <w:right w:val="none" w:sz="0" w:space="0" w:color="auto"/>
      </w:divBdr>
    </w:div>
    <w:div w:id="16837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Steve Sowle,  a Korean Chef with a passion for soul food, owns and operates Sowle’s Seoul Soul, a restaurant specializing in a Korean interpretation of soul food</vt:lpstr>
    </vt:vector>
  </TitlesOfParts>
  <Company>Chicago-Kent College of Law</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Sowle,  a Korean Chef with a passion for soul food, owns and operates Sowle’s Seoul Soul, a restaurant specializing in a Korean interpretation of soul food</dc:title>
  <dc:subject/>
  <dc:creator>Richard</dc:creator>
  <cp:keywords/>
  <dc:description/>
  <cp:lastModifiedBy>Richard Warner</cp:lastModifiedBy>
  <cp:revision>2</cp:revision>
  <dcterms:created xsi:type="dcterms:W3CDTF">2020-11-29T22:41:00Z</dcterms:created>
  <dcterms:modified xsi:type="dcterms:W3CDTF">2020-11-29T22:41:00Z</dcterms:modified>
</cp:coreProperties>
</file>